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AC886">
      <w:pPr>
        <w:spacing w:line="480" w:lineRule="auto"/>
        <w:jc w:val="center"/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>upplementary materials</w:t>
      </w:r>
      <w:bookmarkStart w:id="1" w:name="_GoBack"/>
      <w:bookmarkEnd w:id="1"/>
    </w:p>
    <w:p w14:paraId="6CA5A56E">
      <w:pPr>
        <w:spacing w:line="480" w:lineRule="auto"/>
        <w:jc w:val="center"/>
        <w:rPr>
          <w:rFonts w:hint="default" w:ascii="Times New Roman" w:hAnsi="Times New Roman" w:eastAsia="宋体" w:cs="Times New Roman"/>
          <w:i/>
          <w:iCs/>
          <w:sz w:val="20"/>
          <w:szCs w:val="20"/>
          <w:lang w:val="en-US" w:eastAsia="zh-CN"/>
        </w:rPr>
      </w:pPr>
    </w:p>
    <w:p w14:paraId="0355C793">
      <w:pPr>
        <w:spacing w:line="48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Signal Mining for Non-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</w:rPr>
        <w:t>Bleeding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Adverse Event 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</w:rPr>
        <w:t>in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Novel Oral Anticoagulants: A Pharmacovigilance Study Based on the FAERS Database</w:t>
      </w:r>
    </w:p>
    <w:p w14:paraId="10EC315E">
      <w:pPr>
        <w:spacing w:line="480" w:lineRule="auto"/>
        <w:jc w:val="left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hAnsi="Times New Roman" w:cs="Times New Roman"/>
          <w:sz w:val="20"/>
          <w:szCs w:val="20"/>
        </w:rPr>
        <w:t>Guimu Guo</w:t>
      </w:r>
      <w:r>
        <w:rPr>
          <w:rFonts w:hint="eastAsia" w:ascii="Times New Roman" w:hAnsi="Times New Roman" w:cs="Times New Roman"/>
          <w:sz w:val="20"/>
          <w:szCs w:val="20"/>
          <w:vertAlign w:val="superscript"/>
        </w:rPr>
        <w:t>a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hint="eastAsia" w:ascii="Times New Roman" w:hAnsi="Times New Roman" w:cs="Times New Roman"/>
          <w:sz w:val="20"/>
          <w:szCs w:val="20"/>
        </w:rPr>
        <w:t xml:space="preserve"> Ying Song</w:t>
      </w:r>
      <w:r>
        <w:rPr>
          <w:rFonts w:hint="eastAsia" w:ascii="Times New Roman" w:hAnsi="Times New Roman" w:cs="Times New Roman"/>
          <w:sz w:val="20"/>
          <w:szCs w:val="20"/>
          <w:vertAlign w:val="superscript"/>
        </w:rPr>
        <w:t>a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>
        <w:rPr>
          <w:rFonts w:hint="eastAsia" w:ascii="Times New Roman" w:hAnsi="Times New Roman" w:cs="Times New Roman"/>
          <w:sz w:val="20"/>
          <w:szCs w:val="20"/>
          <w:vertAlign w:val="superscript"/>
          <w:lang w:val="en-US" w:eastAsia="zh-CN"/>
        </w:rPr>
        <w:t>,2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hint="eastAsia" w:ascii="Times New Roman" w:hAnsi="Times New Roman" w:cs="Times New Roman"/>
          <w:sz w:val="20"/>
          <w:szCs w:val="20"/>
        </w:rPr>
        <w:t>Yunda Chen</w:t>
      </w:r>
      <w:r>
        <w:rPr>
          <w:rFonts w:hint="eastAsia" w:ascii="Times New Roman" w:hAnsi="Times New Roman" w:cs="Times New Roman"/>
          <w:sz w:val="20"/>
          <w:szCs w:val="20"/>
          <w:vertAlign w:val="superscript"/>
          <w:lang w:val="en-US" w:eastAsia="zh-CN"/>
        </w:rPr>
        <w:t>1,3</w:t>
      </w:r>
      <w:r>
        <w:rPr>
          <w:rFonts w:ascii="Times New Roman" w:hAnsi="Times New Roman" w:cs="Times New Roman"/>
          <w:sz w:val="20"/>
          <w:szCs w:val="20"/>
        </w:rPr>
        <w:t>, Jinhua Zhang</w:t>
      </w:r>
      <w:r>
        <w:rPr>
          <w:rFonts w:hint="eastAsia" w:ascii="Times New Roman" w:hAnsi="Times New Roman" w:cs="Times New Roman"/>
          <w:sz w:val="20"/>
          <w:szCs w:val="20"/>
          <w:vertAlign w:val="superscript"/>
        </w:rPr>
        <w:t>1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*</w:t>
      </w:r>
    </w:p>
    <w:p w14:paraId="502E8C22">
      <w:pPr>
        <w:spacing w:line="480" w:lineRule="auto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  <w:vertAlign w:val="superscript"/>
        </w:rPr>
        <w:t xml:space="preserve">1 </w:t>
      </w:r>
      <w:r>
        <w:rPr>
          <w:rFonts w:ascii="Times New Roman" w:hAnsi="Times New Roman" w:cs="Times New Roman"/>
          <w:sz w:val="20"/>
          <w:szCs w:val="20"/>
        </w:rPr>
        <w:t>Department of Pharmacy, Fujian Maternity and Child Health Hospital College of Clinical Medicine for Obstetrics &amp; Gynecology and Pediatrics, Fujian Medical University, Fuzhou, China</w:t>
      </w:r>
    </w:p>
    <w:p w14:paraId="19E1E93D">
      <w:pPr>
        <w:spacing w:line="480" w:lineRule="auto"/>
        <w:jc w:val="left"/>
        <w:rPr>
          <w:rFonts w:hint="eastAsia"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  <w:vertAlign w:val="super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0"/>
          <w:szCs w:val="20"/>
        </w:rPr>
        <w:t>Department of Pharmacy, Children's Hospital of Fudan University (Xiamen Branch), Xiamen Children's Hospital, Xiamen, China</w:t>
      </w:r>
    </w:p>
    <w:p w14:paraId="50074D6A">
      <w:pPr>
        <w:spacing w:line="480" w:lineRule="auto"/>
        <w:jc w:val="left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vertAlign w:val="superscript"/>
          <w:lang w:val="en-US" w:eastAsia="zh-CN"/>
        </w:rPr>
        <w:t>3</w:t>
      </w:r>
      <w:r>
        <w:rPr>
          <w:rFonts w:hint="eastAsia" w:ascii="Times New Roman" w:hAnsi="Times New Roman" w:cs="Times New Roman"/>
          <w:sz w:val="20"/>
          <w:szCs w:val="20"/>
        </w:rPr>
        <w:t>The Affiliated High School of Fujian Normal University in PingTan, Fuzhou, China.</w:t>
      </w:r>
    </w:p>
    <w:p w14:paraId="34673F8E">
      <w:pPr>
        <w:spacing w:line="480" w:lineRule="auto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  <w:vertAlign w:val="superscript"/>
        </w:rPr>
        <w:t xml:space="preserve">a </w:t>
      </w:r>
      <w:r>
        <w:rPr>
          <w:rFonts w:ascii="Times New Roman" w:hAnsi="Times New Roman" w:cs="Times New Roman"/>
          <w:sz w:val="20"/>
          <w:szCs w:val="20"/>
        </w:rPr>
        <w:t xml:space="preserve">Guimu Guo and </w:t>
      </w:r>
      <w:r>
        <w:rPr>
          <w:rFonts w:hint="eastAsia" w:ascii="Times New Roman" w:hAnsi="Times New Roman" w:cs="Times New Roman"/>
          <w:sz w:val="20"/>
          <w:szCs w:val="20"/>
        </w:rPr>
        <w:t>Ying Song</w:t>
      </w:r>
      <w:r>
        <w:rPr>
          <w:rFonts w:ascii="Times New Roman" w:hAnsi="Times New Roman" w:cs="Times New Roman"/>
          <w:sz w:val="20"/>
          <w:szCs w:val="20"/>
        </w:rPr>
        <w:t xml:space="preserve"> contributed to the work equally</w:t>
      </w:r>
    </w:p>
    <w:p w14:paraId="62FB1DEE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left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eastAsia="等线" w:cs="Times New Roman"/>
          <w:kern w:val="2"/>
          <w:sz w:val="20"/>
          <w:szCs w:val="20"/>
          <w:vertAlign w:val="superscript"/>
          <w:lang w:val="en-US" w:eastAsia="zh-CN" w:bidi="ar"/>
        </w:rPr>
        <w:t>*</w:t>
      </w:r>
      <w:r>
        <w:rPr>
          <w:rFonts w:hint="default" w:ascii="Times New Roman" w:hAnsi="Times New Roman" w:eastAsia="等线" w:cs="Times New Roman"/>
          <w:kern w:val="2"/>
          <w:sz w:val="20"/>
          <w:szCs w:val="20"/>
          <w:lang w:val="en-US" w:eastAsia="zh-CN" w:bidi="ar"/>
        </w:rPr>
        <w:t>Corresponding author</w:t>
      </w:r>
    </w:p>
    <w:p w14:paraId="2FF9F22D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left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eastAsia="等线" w:cs="Times New Roman"/>
          <w:kern w:val="2"/>
          <w:sz w:val="20"/>
          <w:szCs w:val="20"/>
          <w:lang w:val="en-US" w:eastAsia="zh-CN" w:bidi="ar"/>
        </w:rPr>
        <w:t xml:space="preserve">Jinhua Zhang, Ph.D., Department of Pharmacy, Fujian Maternity and Child Health Hospital College of Clinical Medicine for Obstetrics &amp; Gynecology and Pediatrics, Fujian Medical University, #18 Daoshan Road, Fuzhou, 350001, China </w:t>
      </w:r>
    </w:p>
    <w:p w14:paraId="6AE139FC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left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eastAsia="等线" w:cs="Times New Roman"/>
          <w:kern w:val="2"/>
          <w:sz w:val="20"/>
          <w:szCs w:val="20"/>
          <w:lang w:val="en-US" w:eastAsia="zh-CN" w:bidi="ar"/>
        </w:rPr>
        <w:t xml:space="preserve">Tel.: +86-591-8335-7896 </w:t>
      </w:r>
    </w:p>
    <w:p w14:paraId="2D3AB5E9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0"/>
        <w:jc w:val="left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eastAsia="等线" w:cs="Times New Roman"/>
          <w:kern w:val="2"/>
          <w:sz w:val="20"/>
          <w:szCs w:val="20"/>
          <w:lang w:val="en-US" w:eastAsia="zh-CN" w:bidi="ar"/>
        </w:rPr>
        <w:t>Fax: +86-591-8335-7896</w:t>
      </w:r>
    </w:p>
    <w:p w14:paraId="2E1723A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hint="default" w:ascii="Times New Roman" w:hAnsi="Times New Roman" w:eastAsia="等线" w:cs="Times New Roman"/>
          <w:kern w:val="2"/>
          <w:sz w:val="20"/>
          <w:szCs w:val="20"/>
          <w:lang w:val="en-US" w:eastAsia="zh-CN" w:bidi="ar"/>
        </w:rPr>
        <w:t>E-mail: pollyzhang2006@126.com</w:t>
      </w:r>
    </w:p>
    <w:p w14:paraId="105C5129">
      <w:pPr>
        <w:jc w:val="center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</w:p>
    <w:p w14:paraId="6AE4E49F">
      <w:pPr>
        <w:spacing w:line="480" w:lineRule="auto"/>
        <w:jc w:val="left"/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12" w:charSpace="0"/>
        </w:sectPr>
      </w:pPr>
      <w:bookmarkStart w:id="0" w:name="OLE_LINK8"/>
    </w:p>
    <w:p w14:paraId="3C7057D3">
      <w:pPr>
        <w:spacing w:line="480" w:lineRule="auto"/>
        <w:jc w:val="left"/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  <w:t>1 Methods</w:t>
      </w:r>
    </w:p>
    <w:p w14:paraId="4C4645B1">
      <w:pPr>
        <w:numPr>
          <w:ilvl w:val="0"/>
          <w:numId w:val="0"/>
        </w:numPr>
        <w:spacing w:line="480" w:lineRule="auto"/>
        <w:ind w:leftChars="0"/>
        <w:jc w:val="left"/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  <w:t>Disproportionality analysis</w:t>
      </w:r>
    </w:p>
    <w:p w14:paraId="2BF680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400" w:firstLineChars="200"/>
        <w:jc w:val="left"/>
        <w:textAlignment w:val="auto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The ROR and the BCPNN are analytical methodologies predicated on the principle of disproportionality, which is employed to discern potential causal associations between drugs and adverse events. In scenarios where a drug-event combination exhibits actual incidences surpassing expected values, such a disproportionality might suggest a possible adverse reaction. This inference is contingent on whether the degree of disproportionality transcends a pre-established threshold, thereby signaling a potential adverse effect.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</w:rPr>
        <w:t>The mathematical formulations for ROR and BCPNN, integral to this analytical framework, are articulated as follows:</w:t>
      </w:r>
    </w:p>
    <w:p w14:paraId="023DCC59">
      <w:pPr>
        <w:numPr>
          <w:ilvl w:val="0"/>
          <w:numId w:val="1"/>
        </w:numPr>
        <w:spacing w:line="480" w:lineRule="auto"/>
        <w:ind w:leftChars="0"/>
        <w:jc w:val="left"/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</w:rPr>
        <w:t>The mathematical formulations for ROR</w:t>
      </w:r>
    </w:p>
    <w:p w14:paraId="46DC69E1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ascii="Times New Roman" w:hAnsi="Times New Roman" w:cs="Times New Roman"/>
          <w:sz w:val="20"/>
          <w:szCs w:val="20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hint="default" w:ascii="Cambria Math" w:hAnsi="Cambria Math" w:cs="Times New Roman"/>
              <w:sz w:val="20"/>
              <w:szCs w:val="20"/>
            </w:rPr>
            <m:t>ROR=</m:t>
          </m:r>
          <m:f>
            <m:fPr>
              <m:ctrlPr>
                <w:rPr>
                  <w:rFonts w:hint="default" w:ascii="Cambria Math" w:hAnsi="Cambria Math" w:cs="Times New Roman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Cambria Math" w:hAnsi="Cambria Math" w:cs="Times New Roman"/>
                  <w:sz w:val="20"/>
                  <w:szCs w:val="20"/>
                </w:rPr>
                <m:t>a / c</m:t>
              </m:r>
              <m:ctrlPr>
                <w:rPr>
                  <w:rFonts w:hint="default" w:ascii="Cambria Math" w:hAnsi="Cambria Math" w:cs="Times New Roman"/>
                  <w:sz w:val="20"/>
                  <w:szCs w:val="20"/>
                </w:rPr>
              </m:ctrlPr>
            </m:num>
            <m:den>
              <m:r>
                <m:rPr/>
                <w:rPr>
                  <w:rFonts w:hint="default" w:ascii="Cambria Math" w:hAnsi="Cambria Math" w:cs="Times New Roman"/>
                  <w:sz w:val="20"/>
                  <w:szCs w:val="20"/>
                </w:rPr>
                <m:t>b / d</m:t>
              </m:r>
              <m:ctrlPr>
                <w:rPr>
                  <w:rFonts w:hint="default" w:ascii="Cambria Math" w:hAnsi="Cambria Math" w:cs="Times New Roman"/>
                  <w:sz w:val="20"/>
                  <w:szCs w:val="20"/>
                </w:rPr>
              </m:ctrlPr>
            </m:den>
          </m:f>
        </m:oMath>
      </m:oMathPara>
    </w:p>
    <w:p w14:paraId="2EE5F1E7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hAnsi="Cambria Math" w:cs="Times New Roman"/>
          <w:i w:val="0"/>
          <w:sz w:val="20"/>
          <w:szCs w:val="20"/>
        </w:rPr>
      </w:pPr>
      <m:oMathPara>
        <m:oMathParaPr>
          <m:jc m:val="left"/>
        </m:oMathParaPr>
        <m:oMath>
          <m:r>
            <m:rPr/>
            <w:rPr>
              <w:rFonts w:hint="default" w:ascii="Cambria Math" w:hAnsi="Cambria Math" w:cs="Times New Roman"/>
              <w:sz w:val="20"/>
              <w:szCs w:val="20"/>
            </w:rPr>
            <m:t>SE(lnROR)</m:t>
          </m:r>
          <m:r>
            <m:rPr>
              <m:sty m:val="p"/>
            </m:rPr>
            <w:rPr>
              <w:rFonts w:hint="default" w:ascii="Cambria Math" w:hAnsi="Cambria Math" w:cs="Times New Roman"/>
              <w:sz w:val="20"/>
              <w:szCs w:val="20"/>
            </w:rPr>
            <m:t>=</m:t>
          </m:r>
          <m:rad>
            <m:radPr>
              <m:degHide m:val="1"/>
              <m:ctrlPr>
                <w:rPr>
                  <w:rFonts w:hint="default" w:ascii="Cambria Math" w:hAnsi="Cambria Math" w:cs="Times New Roman"/>
                  <w:sz w:val="20"/>
                  <w:szCs w:val="20"/>
                </w:rPr>
              </m:ctrlPr>
            </m:radPr>
            <m:deg>
              <m:ctrlPr>
                <w:rPr>
                  <w:rFonts w:hint="default" w:ascii="Cambria Math" w:hAnsi="Cambria Math" w:cs="Times New Roman"/>
                  <w:sz w:val="20"/>
                  <w:szCs w:val="20"/>
                </w:rPr>
              </m:ctrlPr>
            </m:deg>
            <m:e>
              <m:f>
                <m:fP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1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a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den>
              </m:f>
              <m:r>
                <m:rPr>
                  <m:sty m:val="p"/>
                </m:rPr>
                <w:rPr>
                  <w:rFonts w:hint="default" w:ascii="Cambria Math" w:hAnsi="Cambria Math" w:cs="Times New Roman"/>
                  <w:sz w:val="20"/>
                  <w:szCs w:val="20"/>
                </w:rPr>
                <m:t>+</m:t>
              </m:r>
              <m:f>
                <m:fP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1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b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den>
              </m:f>
              <m:r>
                <m:rPr>
                  <m:sty m:val="p"/>
                </m:rPr>
                <w:rPr>
                  <w:rFonts w:hint="default" w:ascii="Cambria Math" w:hAnsi="Cambria Math" w:cs="Times New Roman"/>
                  <w:sz w:val="20"/>
                  <w:szCs w:val="20"/>
                </w:rPr>
                <m:t>+</m:t>
              </m:r>
              <m:f>
                <m:fP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1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c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den>
              </m:f>
              <m:r>
                <m:rPr>
                  <m:sty m:val="p"/>
                </m:rPr>
                <w:rPr>
                  <w:rFonts w:hint="default" w:ascii="Cambria Math" w:hAnsi="Cambria Math" w:cs="Times New Roman"/>
                  <w:sz w:val="20"/>
                  <w:szCs w:val="20"/>
                </w:rPr>
                <m:t>+</m:t>
              </m:r>
              <m:f>
                <m:fP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1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d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den>
              </m:f>
              <m:ctrlPr>
                <w:rPr>
                  <w:rFonts w:hint="default" w:ascii="Cambria Math" w:hAnsi="Cambria Math" w:cs="Times New Roman"/>
                  <w:sz w:val="20"/>
                  <w:szCs w:val="20"/>
                </w:rPr>
              </m:ctrlPr>
            </m:e>
          </m:rad>
        </m:oMath>
      </m:oMathPara>
    </w:p>
    <w:p w14:paraId="18E93076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hAnsi="Cambria Math" w:cs="Times New Roman"/>
          <w:i w:val="0"/>
          <w:sz w:val="20"/>
          <w:szCs w:val="20"/>
        </w:rPr>
      </w:pPr>
      <m:oMathPara>
        <m:oMathParaPr>
          <m:jc m:val="left"/>
        </m:oMathParaPr>
        <m:oMath>
          <m:r>
            <m:rPr/>
            <w:rPr>
              <w:rFonts w:hint="default" w:ascii="Cambria Math" w:hAnsi="Cambria Math" w:cs="Times New Roman"/>
              <w:sz w:val="20"/>
              <w:szCs w:val="20"/>
            </w:rPr>
            <m:t>95%CI</m:t>
          </m:r>
          <m:r>
            <m:rPr>
              <m:sty m:val="p"/>
            </m:rPr>
            <w:rPr>
              <w:rFonts w:hint="default" w:ascii="Cambria Math" w:hAnsi="Cambria Math" w:cs="Times New Roman"/>
              <w:sz w:val="20"/>
              <w:szCs w:val="20"/>
            </w:rPr>
            <m:t xml:space="preserve">= </m:t>
          </m:r>
          <m:sSup>
            <m:sSupPr>
              <m:ctrlPr>
                <w:rPr>
                  <w:rFonts w:hint="default" w:ascii="Cambria Math" w:hAnsi="Cambria Math" w:cs="Times New Roman"/>
                  <w:sz w:val="20"/>
                  <w:szCs w:val="20"/>
                </w:rPr>
              </m:ctrlPr>
            </m:sSupPr>
            <m:e>
              <m:r>
                <m:rPr>
                  <m:sty m:val="p"/>
                </m:rPr>
                <w:rPr>
                  <w:rFonts w:hint="default" w:ascii="Cambria Math" w:hAnsi="Cambria Math" w:cs="Times New Roman"/>
                  <w:sz w:val="20"/>
                  <w:szCs w:val="20"/>
                </w:rPr>
                <m:t>e</m:t>
              </m:r>
              <m:ctrlPr>
                <w:rPr>
                  <w:rFonts w:hint="default" w:ascii="Cambria Math" w:hAnsi="Cambria Math" w:cs="Times New Roman"/>
                  <w:sz w:val="20"/>
                  <w:szCs w:val="20"/>
                </w:rPr>
              </m:ctrlPr>
            </m:e>
            <m:sup>
              <m:func>
                <m:func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ln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fName>
                <m:e>
                  <m:d>
                    <m:dPr>
                      <m:ctrlPr>
                        <w:rPr>
                          <w:rFonts w:hint="default"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/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  <m:t>ROR</m:t>
                      </m:r>
                      <m:ctrlPr>
                        <w:rPr>
                          <w:rFonts w:hint="default"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</m:func>
              <m:r>
                <m:rPr/>
                <w:rPr>
                  <w:rFonts w:hint="default" w:ascii="Cambria Math" w:hAnsi="Cambria Math" w:cs="Times New Roman"/>
                  <w:sz w:val="20"/>
                  <w:szCs w:val="20"/>
                </w:rPr>
                <m:t>±1.96</m:t>
              </m:r>
              <m:r>
                <m:rPr/>
                <w:rPr>
                  <w:rFonts w:hint="default" w:ascii="Cambria Math" w:hAnsi="Cambria Math" w:cs="Times New Roman"/>
                  <w:sz w:val="20"/>
                  <w:szCs w:val="20"/>
                  <w:lang w:val="en-US" w:eastAsia="zh-CN"/>
                </w:rPr>
                <m:t>SE</m:t>
              </m:r>
              <m:ctrlPr>
                <w:rPr>
                  <w:rFonts w:hint="default" w:ascii="Cambria Math" w:hAnsi="Cambria Math" w:cs="Times New Roman"/>
                  <w:sz w:val="20"/>
                  <w:szCs w:val="20"/>
                </w:rPr>
              </m:ctrlPr>
            </m:sup>
          </m:sSup>
        </m:oMath>
      </m:oMathPara>
    </w:p>
    <w:p w14:paraId="593D9C25">
      <w:pPr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</w:rPr>
        <w:t>The mathematical formulations for BCPNN</w:t>
      </w:r>
    </w:p>
    <w:p w14:paraId="4AEC0113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cs="Times New Roman" w:eastAsiaTheme="minorEastAsia"/>
          <w:sz w:val="20"/>
          <w:szCs w:val="20"/>
          <w:lang w:val="en-US" w:eastAsia="zh-C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hint="eastAsia" w:ascii="Cambria Math" w:hAnsi="Cambria Math" w:cs="Times New Roman"/>
              <w:sz w:val="20"/>
              <w:szCs w:val="20"/>
            </w:rPr>
            <m:t>IC=</m:t>
          </m:r>
          <m:sSub>
            <m:sSubPr>
              <m:ctrlPr>
                <w:rPr>
                  <w:rFonts w:hint="eastAsia" w:ascii="Cambria Math" w:hAnsi="Cambria Math" w:cs="Times New Roman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hint="eastAsia" w:ascii="Cambria Math" w:hAnsi="Cambria Math" w:cs="Times New Roman"/>
                  <w:sz w:val="20"/>
                  <w:szCs w:val="20"/>
                </w:rPr>
                <m:t>log</m:t>
              </m:r>
              <m:ctrlPr>
                <w:rPr>
                  <w:rFonts w:hint="eastAsia" w:ascii="Cambria Math" w:hAnsi="Cambria Math" w:cs="Times New Roman"/>
                  <w:sz w:val="20"/>
                  <w:szCs w:val="20"/>
                </w:rPr>
              </m:ctrlPr>
            </m:e>
            <m:sub>
              <m:r>
                <m:rPr>
                  <m:sty m:val="p"/>
                </m:rPr>
                <w:rPr>
                  <w:rFonts w:hint="eastAsia" w:ascii="Cambria Math" w:hAnsi="Cambria Math" w:cs="Times New Roman"/>
                  <w:sz w:val="20"/>
                  <w:szCs w:val="20"/>
                </w:rPr>
                <m:t>2</m:t>
              </m:r>
              <m:ctrlPr>
                <w:rPr>
                  <w:rFonts w:hint="eastAsia" w:ascii="Cambria Math" w:hAnsi="Cambria Math" w:cs="Times New Roman"/>
                  <w:sz w:val="20"/>
                  <w:szCs w:val="20"/>
                </w:rPr>
              </m:ctrlPr>
            </m:sub>
          </m:sSub>
          <m:d>
            <m:dPr>
              <m:ctrlPr>
                <w:rPr>
                  <w:rFonts w:hint="eastAsia" w:ascii="Cambria Math" w:hAnsi="Cambria Math" w:eastAsia="BhcvwlAdvP4C4E74" w:cs="Times New Roman"/>
                  <w:sz w:val="20"/>
                  <w:szCs w:val="20"/>
                </w:rPr>
              </m:ctrlPr>
            </m:dPr>
            <m:e>
              <m:f>
                <m:fPr>
                  <m:ctrlPr>
                    <w:rPr>
                      <w:rFonts w:hint="eastAsia" w:ascii="Cambria Math" w:hAnsi="Cambria Math" w:eastAsia="BhcvwlAdvP4C4E74" w:cs="Times New Roman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  <m:t>N</m:t>
                      </m:r>
                      <m:ctrl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  <m:t>observed</m:t>
                      </m:r>
                      <m:ctrl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hint="eastAsia" w:ascii="Cambria Math" w:hAnsi="Cambria Math" w:eastAsia="BhcvwlAdvP4C4E74" w:cs="Times New Roman"/>
                      <w:sz w:val="20"/>
                      <w:szCs w:val="20"/>
                    </w:rPr>
                    <m:t>+ 0.5</m:t>
                  </m:r>
                  <m:ctrlPr>
                    <w:rPr>
                      <w:rFonts w:hint="eastAsia" w:ascii="Cambria Math" w:hAnsi="Cambria Math" w:eastAsia="BhcvwlAdvP4C4E74" w:cs="Times New Roman"/>
                      <w:sz w:val="20"/>
                      <w:szCs w:val="20"/>
                    </w:rPr>
                  </m:ctrlPr>
                </m:num>
                <m:den>
                  <m:sSub>
                    <m:sSubPr>
                      <m:ctrl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  <m:t>N</m:t>
                      </m:r>
                      <m:ctrl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  <m:t>expected</m:t>
                      </m:r>
                      <m:ctrl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hint="eastAsia" w:ascii="Cambria Math" w:hAnsi="Cambria Math" w:eastAsia="BhcvwlAdvP4C4E74" w:cs="Times New Roman"/>
                      <w:sz w:val="20"/>
                      <w:szCs w:val="20"/>
                    </w:rPr>
                    <m:t>+ 0.5</m:t>
                  </m:r>
                  <m:ctrlPr>
                    <w:rPr>
                      <w:rFonts w:hint="eastAsia" w:ascii="Cambria Math" w:hAnsi="Cambria Math" w:eastAsia="BhcvwlAdvP4C4E74" w:cs="Times New Roman"/>
                      <w:sz w:val="20"/>
                      <w:szCs w:val="20"/>
                    </w:rPr>
                  </m:ctrlPr>
                </m:den>
              </m:f>
              <m:ctrlPr>
                <w:rPr>
                  <w:rFonts w:hint="eastAsia" w:ascii="Cambria Math" w:hAnsi="Cambria Math" w:eastAsia="BhcvwlAdvP4C4E74" w:cs="Times New Roman"/>
                  <w:sz w:val="20"/>
                  <w:szCs w:val="20"/>
                </w:rPr>
              </m:ctrlPr>
            </m:e>
          </m:d>
        </m:oMath>
      </m:oMathPara>
    </w:p>
    <w:bookmarkEnd w:id="0"/>
    <w:p w14:paraId="1CCC4BAF">
      <w:pPr>
        <w:pStyle w:val="9"/>
        <w:numPr>
          <w:ilvl w:val="0"/>
          <w:numId w:val="0"/>
        </w:numPr>
        <w:jc w:val="both"/>
        <w:rPr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hint="eastAsia" w:ascii="Cambria Math" w:hAnsi="Cambria Math" w:eastAsia="BhcvwlAdvP4C4E74" w:cs="Times New Roman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hint="eastAsia" w:ascii="Cambria Math" w:hAnsi="Cambria Math" w:eastAsia="BhcvwlAdvP4C4E74" w:cs="Times New Roman"/>
                  <w:sz w:val="20"/>
                  <w:szCs w:val="20"/>
                </w:rPr>
                <m:t>N</m:t>
              </m:r>
              <m:ctrlPr>
                <w:rPr>
                  <w:rFonts w:hint="eastAsia" w:ascii="Cambria Math" w:hAnsi="Cambria Math" w:eastAsia="BhcvwlAdvP4C4E74" w:cs="Times New Roman"/>
                  <w:sz w:val="20"/>
                  <w:szCs w:val="20"/>
                </w:rPr>
              </m:ctrlPr>
            </m:e>
            <m:sub>
              <m:r>
                <m:rPr>
                  <m:sty m:val="p"/>
                </m:rPr>
                <w:rPr>
                  <w:rFonts w:hint="eastAsia" w:ascii="Cambria Math" w:hAnsi="Cambria Math" w:eastAsia="BhcvwlAdvP4C4E74" w:cs="Times New Roman"/>
                  <w:sz w:val="20"/>
                  <w:szCs w:val="20"/>
                </w:rPr>
                <m:t>expected</m:t>
              </m:r>
              <m:ctrlPr>
                <w:rPr>
                  <w:rFonts w:hint="eastAsia" w:ascii="Cambria Math" w:hAnsi="Cambria Math" w:eastAsia="BhcvwlAdvP4C4E74" w:cs="Times New Roman"/>
                  <w:sz w:val="20"/>
                  <w:szCs w:val="20"/>
                </w:rPr>
              </m:ctrlPr>
            </m:sub>
          </m:sSub>
          <m:r>
            <m:rPr>
              <m:sty m:val="p"/>
            </m:rPr>
            <w:rPr>
              <w:rFonts w:hint="eastAsia" w:ascii="Cambria Math" w:hAnsi="Cambria Math" w:cs="Times New Roman"/>
              <w:sz w:val="20"/>
              <w:szCs w:val="20"/>
            </w:rPr>
            <m:t>=</m:t>
          </m:r>
          <m:f>
            <m:fPr>
              <m:ctrlPr>
                <w:rPr>
                  <w:rFonts w:hint="eastAsia" w:ascii="Cambria Math" w:hAnsi="Cambria Math" w:cs="Times New Roman"/>
                  <w:sz w:val="20"/>
                  <w:szCs w:val="20"/>
                </w:rPr>
              </m:ctrlPr>
            </m:fPr>
            <m:num>
              <m:d>
                <m:dPr>
                  <m:ctrl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hint="eastAsia" w:ascii="Cambria Math" w:hAnsi="Cambria Math" w:cs="Times New Roman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hint="eastAsia"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  <m:ctrlPr>
                        <w:rPr>
                          <w:rFonts w:hint="eastAsia" w:ascii="Cambria Math" w:hAnsi="Cambria Math" w:cs="Times New Roman"/>
                          <w:sz w:val="20"/>
                          <w:szCs w:val="20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eastAsia" w:ascii="Cambria Math" w:hAnsi="Cambria Math" w:cs="Times New Roman"/>
                          <w:sz w:val="20"/>
                          <w:szCs w:val="20"/>
                        </w:rPr>
                        <m:t>drug</m:t>
                      </m:r>
                      <m:ctrlPr>
                        <w:rPr>
                          <w:rFonts w:hint="eastAsia" w:ascii="Cambria Math" w:hAnsi="Cambria Math" w:cs="Times New Roman"/>
                          <w:sz w:val="20"/>
                          <w:szCs w:val="20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  <m:t>∗</m:t>
                  </m:r>
                  <m:sSub>
                    <m:sSubPr>
                      <m:ctrlPr>
                        <w:rPr>
                          <w:rFonts w:hint="eastAsia" w:ascii="Cambria Math" w:hAnsi="Cambria Math" w:cs="Times New Roman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hint="eastAsia"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  <m:ctrlPr>
                        <w:rPr>
                          <w:rFonts w:hint="eastAsia" w:ascii="Cambria Math" w:hAnsi="Cambria Math" w:cs="Times New Roman"/>
                          <w:sz w:val="20"/>
                          <w:szCs w:val="20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eastAsia" w:ascii="Cambria Math" w:hAnsi="Cambria Math" w:cs="Times New Roman"/>
                          <w:sz w:val="20"/>
                          <w:szCs w:val="20"/>
                        </w:rPr>
                        <m:t>effect</m:t>
                      </m:r>
                      <m:ctrlPr>
                        <w:rPr>
                          <w:rFonts w:hint="eastAsia" w:ascii="Cambria Math" w:hAnsi="Cambria Math" w:cs="Times New Roman"/>
                          <w:sz w:val="20"/>
                          <w:szCs w:val="20"/>
                        </w:rPr>
                      </m:ctrlPr>
                    </m:sub>
                  </m:sSub>
                  <m:ctrl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</m:ctrlPr>
                </m:e>
              </m:d>
              <m:ctrlPr>
                <w:rPr>
                  <w:rFonts w:hint="eastAsia" w:ascii="Cambria Math" w:hAnsi="Cambria Math" w:cs="Times New Roman"/>
                  <w:sz w:val="20"/>
                  <w:szCs w:val="20"/>
                </w:rPr>
              </m:ctrlPr>
            </m:num>
            <m:den>
              <m:sSub>
                <m:sSubPr>
                  <m:ctrl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  <m:t>total</m:t>
                  </m:r>
                  <m:ctrl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</m:ctrlPr>
                </m:sub>
              </m:sSub>
              <m:ctrlPr>
                <w:rPr>
                  <w:rFonts w:hint="eastAsia" w:ascii="Cambria Math" w:hAnsi="Cambria Math" w:cs="Times New Roman"/>
                  <w:sz w:val="20"/>
                  <w:szCs w:val="20"/>
                </w:rPr>
              </m:ctrlPr>
            </m:den>
          </m:f>
        </m:oMath>
      </m:oMathPara>
    </w:p>
    <w:p w14:paraId="734A8F72">
      <w:pPr>
        <w:pStyle w:val="9"/>
        <w:widowControl w:val="0"/>
        <w:numPr>
          <w:ilvl w:val="0"/>
          <w:numId w:val="0"/>
        </w:numPr>
        <w:spacing w:line="360" w:lineRule="auto"/>
        <w:jc w:val="both"/>
        <w:rPr>
          <w:sz w:val="20"/>
          <w:szCs w:val="20"/>
        </w:rPr>
      </w:pPr>
      <m:oMathPara>
        <m:oMath>
          <m:sSub>
            <m:sSubPr>
              <m:ctrlPr>
                <w:rPr>
                  <w:rFonts w:hint="eastAsia" w:ascii="Cambria Math" w:hAnsi="Cambria Math" w:cs="Times New Roman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hint="eastAsia" w:ascii="Cambria Math" w:hAnsi="Cambria Math" w:cs="Times New Roman"/>
                  <w:sz w:val="20"/>
                  <w:szCs w:val="20"/>
                </w:rPr>
                <m:t>IC</m:t>
              </m:r>
              <m:ctrlPr>
                <w:rPr>
                  <w:rFonts w:hint="eastAsia" w:ascii="Cambria Math" w:hAnsi="Cambria Math" w:cs="Times New Roman"/>
                  <w:sz w:val="20"/>
                  <w:szCs w:val="20"/>
                </w:rPr>
              </m:ctrlPr>
            </m:e>
            <m:sub>
              <m:r>
                <m:rPr>
                  <m:sty m:val="p"/>
                </m:rPr>
                <w:rPr>
                  <w:rFonts w:hint="eastAsia" w:ascii="Cambria Math" w:hAnsi="Cambria Math" w:cs="Times New Roman"/>
                  <w:sz w:val="20"/>
                  <w:szCs w:val="20"/>
                </w:rPr>
                <m:t>025</m:t>
              </m:r>
              <m:ctrlPr>
                <w:rPr>
                  <w:rFonts w:hint="eastAsia" w:ascii="Cambria Math" w:hAnsi="Cambria Math" w:cs="Times New Roman"/>
                  <w:sz w:val="20"/>
                  <w:szCs w:val="20"/>
                </w:rPr>
              </m:ctrlPr>
            </m:sub>
          </m:sSub>
          <m:r>
            <m:rPr>
              <m:sty m:val="p"/>
            </m:rPr>
            <w:rPr>
              <w:rFonts w:hint="eastAsia" w:ascii="Cambria Math" w:hAnsi="Cambria Math" w:cs="Times New Roman"/>
              <w:sz w:val="20"/>
              <w:szCs w:val="20"/>
            </w:rPr>
            <m:t>=</m:t>
          </m:r>
          <m:sSub>
            <m:sSubPr>
              <m:ctrlPr>
                <w:rPr>
                  <w:rFonts w:hint="eastAsia" w:ascii="Cambria Math" w:hAnsi="Cambria Math" w:cs="Times New Roman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hint="eastAsia" w:ascii="Cambria Math" w:hAnsi="Cambria Math" w:cs="Times New Roman"/>
                  <w:sz w:val="20"/>
                  <w:szCs w:val="20"/>
                </w:rPr>
                <m:t>log</m:t>
              </m:r>
              <m:ctrlPr>
                <w:rPr>
                  <w:rFonts w:hint="eastAsia" w:ascii="Cambria Math" w:hAnsi="Cambria Math" w:cs="Times New Roman"/>
                  <w:sz w:val="20"/>
                  <w:szCs w:val="20"/>
                </w:rPr>
              </m:ctrlPr>
            </m:e>
            <m:sub>
              <m:r>
                <m:rPr>
                  <m:sty m:val="p"/>
                </m:rPr>
                <w:rPr>
                  <w:rFonts w:hint="eastAsia" w:ascii="Cambria Math" w:hAnsi="Cambria Math" w:cs="Times New Roman"/>
                  <w:sz w:val="20"/>
                  <w:szCs w:val="20"/>
                </w:rPr>
                <m:t>2</m:t>
              </m:r>
              <m:ctrlPr>
                <w:rPr>
                  <w:rFonts w:hint="eastAsia" w:ascii="Cambria Math" w:hAnsi="Cambria Math" w:cs="Times New Roman"/>
                  <w:sz w:val="20"/>
                  <w:szCs w:val="20"/>
                </w:rPr>
              </m:ctrlPr>
            </m:sub>
          </m:sSub>
          <m:d>
            <m:dPr>
              <m:ctrlPr>
                <w:rPr>
                  <w:rFonts w:hint="eastAsia" w:ascii="Cambria Math" w:hAnsi="Cambria Math" w:eastAsia="BhcvwlAdvP4C4E74" w:cs="Times New Roman"/>
                  <w:sz w:val="20"/>
                  <w:szCs w:val="20"/>
                </w:rPr>
              </m:ctrlPr>
            </m:dPr>
            <m:e>
              <m:f>
                <m:fPr>
                  <m:ctrlPr>
                    <w:rPr>
                      <w:rFonts w:hint="eastAsia" w:ascii="Cambria Math" w:hAnsi="Cambria Math" w:eastAsia="BhcvwlAdvP4C4E74" w:cs="Times New Roman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  <m:t>N</m:t>
                      </m:r>
                      <m:ctrl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  <m:t>observed</m:t>
                      </m:r>
                      <m:ctrl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hint="eastAsia" w:ascii="Cambria Math" w:hAnsi="Cambria Math" w:eastAsia="BhcvwlAdvP4C4E74" w:cs="Times New Roman"/>
                      <w:sz w:val="20"/>
                      <w:szCs w:val="20"/>
                    </w:rPr>
                    <m:t>+ 0.5</m:t>
                  </m:r>
                  <m:ctrlPr>
                    <w:rPr>
                      <w:rFonts w:hint="eastAsia" w:ascii="Cambria Math" w:hAnsi="Cambria Math" w:eastAsia="BhcvwlAdvP4C4E74" w:cs="Times New Roman"/>
                      <w:sz w:val="20"/>
                      <w:szCs w:val="20"/>
                    </w:rPr>
                  </m:ctrlPr>
                </m:num>
                <m:den>
                  <m:sSub>
                    <m:sSubPr>
                      <m:ctrl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  <m:t>N</m:t>
                      </m:r>
                      <m:ctrl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  <m:t>expected</m:t>
                      </m:r>
                      <m:ctrl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hint="eastAsia" w:ascii="Cambria Math" w:hAnsi="Cambria Math" w:eastAsia="BhcvwlAdvP4C4E74" w:cs="Times New Roman"/>
                      <w:sz w:val="20"/>
                      <w:szCs w:val="20"/>
                    </w:rPr>
                    <m:t>+ 0.5</m:t>
                  </m:r>
                  <m:ctrlPr>
                    <w:rPr>
                      <w:rFonts w:hint="eastAsia" w:ascii="Cambria Math" w:hAnsi="Cambria Math" w:eastAsia="BhcvwlAdvP4C4E74" w:cs="Times New Roman"/>
                      <w:sz w:val="20"/>
                      <w:szCs w:val="20"/>
                    </w:rPr>
                  </m:ctrlPr>
                </m:den>
              </m:f>
              <m:ctrlPr>
                <w:rPr>
                  <w:rFonts w:hint="eastAsia" w:ascii="Cambria Math" w:hAnsi="Cambria Math" w:eastAsia="BhcvwlAdvP4C4E74" w:cs="Times New Roman"/>
                  <w:sz w:val="20"/>
                  <w:szCs w:val="20"/>
                </w:rPr>
              </m:ctrlPr>
            </m:e>
          </m:d>
          <m:r>
            <m:rPr>
              <m:sty m:val="p"/>
            </m:rPr>
            <w:rPr>
              <w:rFonts w:hint="eastAsia" w:ascii="Cambria Math" w:hAnsi="Cambria Math" w:cs="Times New Roman"/>
              <w:sz w:val="20"/>
              <w:szCs w:val="20"/>
            </w:rPr>
            <m:t>−3.3∗</m:t>
          </m:r>
          <m:sSup>
            <m:sSupPr>
              <m:ctrlPr>
                <w:rPr>
                  <w:rFonts w:hint="eastAsia" w:ascii="Cambria Math" w:hAnsi="Cambria Math" w:cs="Times New Roman"/>
                  <w:sz w:val="20"/>
                  <w:szCs w:val="20"/>
                </w:rPr>
              </m:ctrlPr>
            </m:sSupPr>
            <m:e>
              <m:d>
                <m:dPr>
                  <m:ctrl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  <m:t>N</m:t>
                      </m:r>
                      <m:ctrl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  <m:t>observed</m:t>
                      </m:r>
                      <m:ctrl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  <m:t>+0.5</m:t>
                  </m:r>
                  <m:ctrl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</m:ctrlPr>
                </m:e>
              </m:d>
              <m:ctrlPr>
                <w:rPr>
                  <w:rFonts w:hint="eastAsia" w:ascii="Cambria Math" w:hAnsi="Cambria Math" w:cs="Times New Roman"/>
                  <w:sz w:val="20"/>
                  <w:szCs w:val="20"/>
                </w:rPr>
              </m:ctrlPr>
            </m:e>
            <m:sup>
              <m:r>
                <m:rPr>
                  <m:sty m:val="p"/>
                </m:rPr>
                <w:rPr>
                  <w:rFonts w:hint="eastAsia" w:ascii="Cambria Math" w:hAnsi="Cambria Math" w:cs="Times New Roman"/>
                  <w:sz w:val="20"/>
                  <w:szCs w:val="20"/>
                </w:rPr>
                <m:t>−</m:t>
              </m:r>
              <m:f>
                <m:fPr>
                  <m:ctrl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  <m:t>1</m:t>
                  </m:r>
                  <m:ctrl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  <m:t>2</m:t>
                  </m:r>
                  <m:ctrl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</m:ctrlPr>
                </m:den>
              </m:f>
              <m:ctrlPr>
                <w:rPr>
                  <w:rFonts w:hint="eastAsia" w:ascii="Cambria Math" w:hAnsi="Cambria Math" w:cs="Times New Roman"/>
                  <w:sz w:val="20"/>
                  <w:szCs w:val="20"/>
                </w:rPr>
              </m:ctrlPr>
            </m:sup>
          </m:sSup>
          <m:r>
            <m:rPr>
              <m:sty m:val="p"/>
            </m:rPr>
            <w:rPr>
              <w:rFonts w:hint="eastAsia" w:ascii="Cambria Math" w:hAnsi="Cambria Math" w:cs="Times New Roman"/>
              <w:sz w:val="20"/>
              <w:szCs w:val="20"/>
            </w:rPr>
            <m:t>−2∗</m:t>
          </m:r>
          <m:sSup>
            <m:sSupPr>
              <m:ctrlPr>
                <w:rPr>
                  <w:rFonts w:hint="eastAsia" w:ascii="Cambria Math" w:hAnsi="Cambria Math" w:cs="Times New Roman"/>
                  <w:sz w:val="20"/>
                  <w:szCs w:val="20"/>
                </w:rPr>
              </m:ctrlPr>
            </m:sSupPr>
            <m:e>
              <m:d>
                <m:dPr>
                  <m:ctrl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  <m:t>N</m:t>
                      </m:r>
                      <m:ctrl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  <m:t>observed</m:t>
                      </m:r>
                      <m:ctrlPr>
                        <w:rPr>
                          <w:rFonts w:hint="eastAsia" w:ascii="Cambria Math" w:hAnsi="Cambria Math" w:eastAsia="BhcvwlAdvP4C4E74" w:cs="Times New Roman"/>
                          <w:sz w:val="20"/>
                          <w:szCs w:val="20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  <m:t>+0.5</m:t>
                  </m:r>
                  <m:ctrl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</m:ctrlPr>
                </m:e>
              </m:d>
              <m:ctrlPr>
                <w:rPr>
                  <w:rFonts w:hint="eastAsia" w:ascii="Cambria Math" w:hAnsi="Cambria Math" w:cs="Times New Roman"/>
                  <w:sz w:val="20"/>
                  <w:szCs w:val="20"/>
                </w:rPr>
              </m:ctrlPr>
            </m:e>
            <m:sup>
              <m:r>
                <m:rPr>
                  <m:sty m:val="p"/>
                </m:rPr>
                <w:rPr>
                  <w:rFonts w:hint="eastAsia" w:ascii="Cambria Math" w:hAnsi="Cambria Math" w:cs="Times New Roman"/>
                  <w:sz w:val="20"/>
                  <w:szCs w:val="20"/>
                </w:rPr>
                <m:t>−</m:t>
              </m:r>
              <m:f>
                <m:fPr>
                  <m:ctrl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  <m:t>3</m:t>
                  </m:r>
                  <m:ctrl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  <m:t>2</m:t>
                  </m:r>
                  <m:ctrlPr>
                    <w:rPr>
                      <w:rFonts w:hint="eastAsia" w:ascii="Cambria Math" w:hAnsi="Cambria Math" w:cs="Times New Roman"/>
                      <w:sz w:val="20"/>
                      <w:szCs w:val="20"/>
                    </w:rPr>
                  </m:ctrlPr>
                </m:den>
              </m:f>
              <m:ctrlPr>
                <w:rPr>
                  <w:rFonts w:hint="eastAsia" w:ascii="Cambria Math" w:hAnsi="Cambria Math" w:cs="Times New Roman"/>
                  <w:sz w:val="20"/>
                  <w:szCs w:val="20"/>
                </w:rPr>
              </m:ctrlPr>
            </m:sup>
          </m:sSup>
        </m:oMath>
      </m:oMathPara>
    </w:p>
    <w:p w14:paraId="76653B64">
      <w:pPr>
        <w:rPr>
          <w:rFonts w:hint="eastAsia" w:ascii="Times New Roman" w:hAnsi="Times New Roman" w:eastAsia="等线" w:cs="Times New Roman"/>
          <w:b/>
          <w:bCs/>
          <w:kern w:val="2"/>
          <w:sz w:val="20"/>
          <w:szCs w:val="20"/>
          <w:lang w:val="en-US" w:eastAsia="zh-CN" w:bidi="ar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br w:type="page"/>
      </w:r>
    </w:p>
    <w:p w14:paraId="07E0E62E">
      <w:pPr>
        <w:spacing w:line="480" w:lineRule="auto"/>
        <w:rPr>
          <w:rFonts w:hint="eastAsia"/>
          <w:sz w:val="20"/>
          <w:szCs w:val="20"/>
          <w:highlight w:val="none"/>
        </w:rPr>
      </w:pPr>
      <w:r>
        <w:rPr>
          <w:rFonts w:hint="eastAsia" w:ascii="Times New Roman" w:hAnsi="Times New Roman" w:eastAsia="等线" w:cs="Times New Roman"/>
          <w:b/>
          <w:bCs/>
          <w:kern w:val="2"/>
          <w:sz w:val="20"/>
          <w:szCs w:val="20"/>
          <w:lang w:val="en-US" w:eastAsia="zh-CN" w:bidi="ar"/>
        </w:rPr>
        <w:t xml:space="preserve">2 </w:t>
      </w:r>
      <w:r>
        <w:rPr>
          <w:rFonts w:hint="default" w:ascii="Times New Roman" w:hAnsi="Times New Roman" w:eastAsia="等线" w:cs="Times New Roman"/>
          <w:b/>
          <w:bCs/>
          <w:kern w:val="2"/>
          <w:sz w:val="20"/>
          <w:szCs w:val="20"/>
          <w:lang w:val="en-US" w:eastAsia="zh-CN" w:bidi="ar"/>
        </w:rPr>
        <w:t>Supplemental</w:t>
      </w:r>
      <w:r>
        <w:rPr>
          <w:rFonts w:hint="default" w:ascii="Times New Roman" w:hAnsi="Times New Roman" w:eastAsia="PingFang SC" w:cs="Times New Roman"/>
          <w:b/>
          <w:bCs/>
          <w:color w:val="2A2B2E"/>
          <w:kern w:val="0"/>
          <w:sz w:val="20"/>
          <w:szCs w:val="20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Times New Roman" w:hAnsi="Times New Roman" w:eastAsia="PingFang SC" w:cs="Times New Roman"/>
          <w:b/>
          <w:bCs/>
          <w:color w:val="2A2B2E"/>
          <w:kern w:val="0"/>
          <w:sz w:val="20"/>
          <w:szCs w:val="20"/>
          <w:shd w:val="clear" w:color="auto" w:fill="FFFFFF"/>
          <w:lang w:val="en-US" w:eastAsia="zh-CN" w:bidi="ar"/>
        </w:rPr>
        <w:t>T</w:t>
      </w:r>
      <w:r>
        <w:rPr>
          <w:rFonts w:hint="default" w:ascii="Times New Roman" w:hAnsi="Times New Roman" w:eastAsia="PingFang SC" w:cs="Times New Roman"/>
          <w:b/>
          <w:bCs/>
          <w:color w:val="2A2B2E"/>
          <w:kern w:val="0"/>
          <w:sz w:val="20"/>
          <w:szCs w:val="20"/>
          <w:shd w:val="clear" w:color="auto" w:fill="FFFFFF"/>
          <w:lang w:val="en-US" w:eastAsia="zh-CN" w:bidi="ar"/>
        </w:rPr>
        <w:t>able</w:t>
      </w:r>
    </w:p>
    <w:p w14:paraId="4F10B808">
      <w:pPr>
        <w:spacing w:line="480" w:lineRule="auto"/>
        <w:rPr>
          <w:sz w:val="20"/>
          <w:szCs w:val="20"/>
        </w:rPr>
      </w:pPr>
      <w:r>
        <w:rPr>
          <w:rFonts w:hint="eastAsia" w:ascii="Times New Roman Regular" w:hAnsi="Times New Roman Regular" w:eastAsia="PingFang SC" w:cs="Times New Roman Regular"/>
          <w:b/>
          <w:bCs/>
          <w:color w:val="2A2B2E"/>
          <w:kern w:val="0"/>
          <w:sz w:val="20"/>
          <w:szCs w:val="20"/>
          <w:shd w:val="clear" w:color="auto" w:fill="FFFFFF"/>
          <w:lang w:bidi="ar"/>
        </w:rPr>
        <w:t xml:space="preserve">Table </w:t>
      </w:r>
      <w:r>
        <w:rPr>
          <w:rFonts w:ascii="Times New Roman Regular" w:hAnsi="Times New Roman Regular" w:eastAsia="PingFang SC" w:cs="Times New Roman Regular"/>
          <w:b/>
          <w:bCs/>
          <w:color w:val="2A2B2E"/>
          <w:kern w:val="0"/>
          <w:sz w:val="20"/>
          <w:szCs w:val="20"/>
          <w:shd w:val="clear" w:color="auto" w:fill="FFFFFF"/>
          <w:lang w:bidi="ar"/>
        </w:rPr>
        <w:t>S</w:t>
      </w:r>
      <w:r>
        <w:rPr>
          <w:rFonts w:hint="eastAsia" w:ascii="Times New Roman Regular" w:hAnsi="Times New Roman Regular" w:eastAsia="PingFang SC" w:cs="Times New Roman Regular"/>
          <w:b/>
          <w:bCs/>
          <w:color w:val="2A2B2E"/>
          <w:kern w:val="0"/>
          <w:sz w:val="20"/>
          <w:szCs w:val="20"/>
          <w:shd w:val="clear" w:color="auto" w:fill="FFFFFF"/>
          <w:lang w:val="en-US" w:eastAsia="zh-CN" w:bidi="ar"/>
        </w:rPr>
        <w:t>1</w:t>
      </w:r>
      <w:r>
        <w:rPr>
          <w:rFonts w:hint="eastAsia" w:ascii="Times New Roman Regular" w:hAnsi="Times New Roman Regular" w:eastAsia="PingFang SC" w:cs="Times New Roman Regular"/>
          <w:color w:val="2A2B2E"/>
          <w:kern w:val="0"/>
          <w:sz w:val="20"/>
          <w:szCs w:val="20"/>
          <w:shd w:val="clear" w:color="auto" w:fill="FFFFFF"/>
          <w:lang w:val="en-US" w:eastAsia="zh-CN" w:bidi="ar"/>
        </w:rPr>
        <w:t xml:space="preserve"> </w:t>
      </w:r>
      <w:r>
        <w:rPr>
          <w:rFonts w:ascii="Times New Roman Regular" w:hAnsi="Times New Roman Regular" w:eastAsia="PingFang SC" w:cs="Times New Roman Regular"/>
          <w:color w:val="2A2B2E"/>
          <w:kern w:val="0"/>
          <w:sz w:val="20"/>
          <w:szCs w:val="20"/>
          <w:shd w:val="clear" w:color="auto" w:fill="FFFFFF"/>
          <w:lang w:bidi="ar"/>
        </w:rPr>
        <w:t>2 × 2 contingency table</w:t>
      </w:r>
      <w:r>
        <w:rPr>
          <w:rFonts w:hint="eastAsia" w:ascii="Times New Roman Regular" w:hAnsi="Times New Roman Regular" w:eastAsia="PingFang SC" w:cs="Times New Roman Regular"/>
          <w:color w:val="2A2B2E"/>
          <w:kern w:val="0"/>
          <w:sz w:val="20"/>
          <w:szCs w:val="20"/>
          <w:shd w:val="clear" w:color="auto" w:fill="FFFFFF"/>
          <w:lang w:bidi="ar"/>
        </w:rPr>
        <w:t xml:space="preserve"> of disproportionality method</w:t>
      </w:r>
    </w:p>
    <w:tbl>
      <w:tblPr>
        <w:tblStyle w:val="5"/>
        <w:tblpPr w:leftFromText="180" w:rightFromText="180" w:vertAnchor="text" w:horzAnchor="page" w:tblpXSpec="center" w:tblpY="33"/>
        <w:tblOverlap w:val="never"/>
        <w:tblW w:w="10671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1"/>
        <w:gridCol w:w="2953"/>
        <w:gridCol w:w="3132"/>
        <w:gridCol w:w="1525"/>
      </w:tblGrid>
      <w:tr w14:paraId="10770E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3061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</w:tcPr>
          <w:p w14:paraId="7836A043">
            <w:pPr>
              <w:keepNext w:val="0"/>
              <w:keepLines w:val="0"/>
              <w:suppressLineNumbers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Times New Roman Regular" w:hAnsi="Times New Roman Regular" w:cs="Times New Roman Regular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Item</w:t>
            </w:r>
          </w:p>
        </w:tc>
        <w:tc>
          <w:tcPr>
            <w:tcW w:w="2953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</w:tcPr>
          <w:p w14:paraId="56EA3646">
            <w:pPr>
              <w:keepNext w:val="0"/>
              <w:keepLines w:val="0"/>
              <w:suppressLineNumbers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Times New Roman Regular" w:hAnsi="Times New Roman Regular" w:cs="Times New Roman Regular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Target adverse events reported</w:t>
            </w:r>
          </w:p>
        </w:tc>
        <w:tc>
          <w:tcPr>
            <w:tcW w:w="3132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</w:tcPr>
          <w:p w14:paraId="64615B31">
            <w:pPr>
              <w:keepNext w:val="0"/>
              <w:keepLines w:val="0"/>
              <w:suppressLineNumbers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Times New Roman Regular" w:hAnsi="Times New Roman Regular" w:cs="Times New Roman Regular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Other adverse events reported</w:t>
            </w:r>
          </w:p>
        </w:tc>
        <w:tc>
          <w:tcPr>
            <w:tcW w:w="1525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</w:tcPr>
          <w:p w14:paraId="039B917B">
            <w:pPr>
              <w:keepNext w:val="0"/>
              <w:keepLines w:val="0"/>
              <w:suppressLineNumbers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Times New Roman Regular" w:hAnsi="Times New Roman Regular" w:cs="Times New Roman Regular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Total</w:t>
            </w:r>
          </w:p>
        </w:tc>
      </w:tr>
      <w:tr w14:paraId="4C0DE1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5D9CE715">
            <w:pPr>
              <w:keepNext w:val="0"/>
              <w:keepLines w:val="0"/>
              <w:suppressLineNumbers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Times New Roman Regular" w:hAnsi="Times New Roman Regular" w:cs="Times New Roman Regular"/>
                <w:kern w:val="0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kern w:val="0"/>
                <w:sz w:val="20"/>
                <w:szCs w:val="20"/>
              </w:rPr>
              <w:t>Reports with the target drug</w:t>
            </w:r>
          </w:p>
        </w:tc>
        <w:tc>
          <w:tcPr>
            <w:tcW w:w="295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49A84BB7">
            <w:pPr>
              <w:keepNext w:val="0"/>
              <w:keepLines w:val="0"/>
              <w:suppressLineNumbers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Times New Roman Regular" w:hAnsi="Times New Roman Regular" w:cs="Times New Roman Regular"/>
                <w:kern w:val="0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kern w:val="0"/>
                <w:sz w:val="20"/>
                <w:szCs w:val="20"/>
              </w:rPr>
              <w:t>a</w:t>
            </w:r>
          </w:p>
        </w:tc>
        <w:tc>
          <w:tcPr>
            <w:tcW w:w="313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29897B5B">
            <w:pPr>
              <w:keepNext w:val="0"/>
              <w:keepLines w:val="0"/>
              <w:suppressLineNumbers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Times New Roman Regular" w:hAnsi="Times New Roman Regular" w:cs="Times New Roman Regular"/>
                <w:kern w:val="0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kern w:val="0"/>
                <w:sz w:val="20"/>
                <w:szCs w:val="20"/>
              </w:rPr>
              <w:t>b</w:t>
            </w:r>
          </w:p>
        </w:tc>
        <w:tc>
          <w:tcPr>
            <w:tcW w:w="152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59E98882">
            <w:pPr>
              <w:keepNext w:val="0"/>
              <w:keepLines w:val="0"/>
              <w:suppressLineNumbers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Times New Roman Regular" w:hAnsi="Times New Roman Regular" w:cs="Times New Roman Regular"/>
                <w:kern w:val="0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kern w:val="0"/>
                <w:sz w:val="20"/>
                <w:szCs w:val="20"/>
              </w:rPr>
              <w:t>a+b</w:t>
            </w:r>
          </w:p>
        </w:tc>
      </w:tr>
      <w:tr w14:paraId="4BC3F39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1" w:type="dxa"/>
            <w:tcBorders>
              <w:top w:val="nil"/>
              <w:bottom w:val="nil"/>
            </w:tcBorders>
          </w:tcPr>
          <w:p w14:paraId="4D68D7BF">
            <w:pPr>
              <w:keepNext w:val="0"/>
              <w:keepLines w:val="0"/>
              <w:suppressLineNumbers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Times New Roman Regular" w:hAnsi="Times New Roman Regular" w:cs="Times New Roman Regular"/>
                <w:kern w:val="0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kern w:val="0"/>
                <w:sz w:val="20"/>
                <w:szCs w:val="20"/>
              </w:rPr>
              <w:t>All other drugs</w:t>
            </w:r>
          </w:p>
        </w:tc>
        <w:tc>
          <w:tcPr>
            <w:tcW w:w="2953" w:type="dxa"/>
            <w:tcBorders>
              <w:top w:val="nil"/>
              <w:bottom w:val="nil"/>
            </w:tcBorders>
          </w:tcPr>
          <w:p w14:paraId="38657A41">
            <w:pPr>
              <w:keepNext w:val="0"/>
              <w:keepLines w:val="0"/>
              <w:suppressLineNumbers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Times New Roman Regular" w:hAnsi="Times New Roman Regular" w:cs="Times New Roman Regular"/>
                <w:kern w:val="0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kern w:val="0"/>
                <w:sz w:val="20"/>
                <w:szCs w:val="20"/>
              </w:rPr>
              <w:t>c</w:t>
            </w:r>
          </w:p>
        </w:tc>
        <w:tc>
          <w:tcPr>
            <w:tcW w:w="3132" w:type="dxa"/>
            <w:tcBorders>
              <w:top w:val="nil"/>
              <w:bottom w:val="nil"/>
            </w:tcBorders>
          </w:tcPr>
          <w:p w14:paraId="33B2E5E7">
            <w:pPr>
              <w:keepNext w:val="0"/>
              <w:keepLines w:val="0"/>
              <w:suppressLineNumbers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Times New Roman Regular" w:hAnsi="Times New Roman Regular" w:cs="Times New Roman Regular"/>
                <w:kern w:val="0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kern w:val="0"/>
                <w:sz w:val="20"/>
                <w:szCs w:val="20"/>
              </w:rPr>
              <w:t>d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14:paraId="362F0358">
            <w:pPr>
              <w:keepNext w:val="0"/>
              <w:keepLines w:val="0"/>
              <w:suppressLineNumbers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Times New Roman Regular" w:hAnsi="Times New Roman Regular" w:cs="Times New Roman Regular"/>
                <w:kern w:val="0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kern w:val="0"/>
                <w:sz w:val="20"/>
                <w:szCs w:val="20"/>
              </w:rPr>
              <w:t>c+d</w:t>
            </w:r>
          </w:p>
        </w:tc>
      </w:tr>
      <w:tr w14:paraId="24E08B2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1" w:type="dxa"/>
            <w:tcBorders>
              <w:top w:val="nil"/>
              <w:bottom w:val="single" w:color="auto" w:sz="12" w:space="0"/>
            </w:tcBorders>
          </w:tcPr>
          <w:p w14:paraId="52B109D0">
            <w:pPr>
              <w:keepNext w:val="0"/>
              <w:keepLines w:val="0"/>
              <w:suppressLineNumbers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Times New Roman Regular" w:hAnsi="Times New Roman Regular" w:cs="Times New Roman Regular"/>
                <w:kern w:val="0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kern w:val="0"/>
                <w:sz w:val="20"/>
                <w:szCs w:val="20"/>
              </w:rPr>
              <w:t>Total</w:t>
            </w:r>
          </w:p>
        </w:tc>
        <w:tc>
          <w:tcPr>
            <w:tcW w:w="2953" w:type="dxa"/>
            <w:tcBorders>
              <w:top w:val="nil"/>
              <w:bottom w:val="single" w:color="auto" w:sz="12" w:space="0"/>
            </w:tcBorders>
          </w:tcPr>
          <w:p w14:paraId="46176C61">
            <w:pPr>
              <w:keepNext w:val="0"/>
              <w:keepLines w:val="0"/>
              <w:suppressLineNumbers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Times New Roman Regular" w:hAnsi="Times New Roman Regular" w:cs="Times New Roman Regular"/>
                <w:kern w:val="0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kern w:val="0"/>
                <w:sz w:val="20"/>
                <w:szCs w:val="20"/>
              </w:rPr>
              <w:t>a+c</w:t>
            </w:r>
          </w:p>
        </w:tc>
        <w:tc>
          <w:tcPr>
            <w:tcW w:w="3132" w:type="dxa"/>
            <w:tcBorders>
              <w:top w:val="nil"/>
              <w:bottom w:val="single" w:color="auto" w:sz="12" w:space="0"/>
            </w:tcBorders>
          </w:tcPr>
          <w:p w14:paraId="00B57338">
            <w:pPr>
              <w:keepNext w:val="0"/>
              <w:keepLines w:val="0"/>
              <w:suppressLineNumbers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Times New Roman Regular" w:hAnsi="Times New Roman Regular" w:cs="Times New Roman Regular"/>
                <w:kern w:val="0"/>
                <w:sz w:val="20"/>
                <w:szCs w:val="20"/>
              </w:rPr>
            </w:pPr>
            <w:r>
              <w:rPr>
                <w:rFonts w:hint="default" w:ascii="Times New Roman Regular" w:hAnsi="Times New Roman Regular" w:cs="Times New Roman Regular"/>
                <w:kern w:val="0"/>
                <w:sz w:val="20"/>
                <w:szCs w:val="20"/>
              </w:rPr>
              <w:t>b+d</w:t>
            </w:r>
          </w:p>
        </w:tc>
        <w:tc>
          <w:tcPr>
            <w:tcW w:w="1525" w:type="dxa"/>
            <w:tcBorders>
              <w:top w:val="nil"/>
              <w:bottom w:val="single" w:color="auto" w:sz="12" w:space="0"/>
            </w:tcBorders>
          </w:tcPr>
          <w:p w14:paraId="278F7148">
            <w:pPr>
              <w:keepNext w:val="0"/>
              <w:keepLines w:val="0"/>
              <w:suppressLineNumbers w:val="0"/>
              <w:spacing w:before="0" w:beforeAutospacing="0" w:after="0" w:afterAutospacing="0" w:line="24" w:lineRule="atLeast"/>
              <w:ind w:left="0" w:right="0"/>
              <w:jc w:val="center"/>
              <w:rPr>
                <w:rFonts w:hint="eastAsia" w:ascii="Times New Roman Regular" w:hAnsi="Times New Roman Regular" w:cs="Times New Roman Regular"/>
                <w:kern w:val="0"/>
                <w:sz w:val="20"/>
                <w:szCs w:val="20"/>
              </w:rPr>
            </w:pPr>
            <w:r>
              <w:rPr>
                <w:rFonts w:hint="eastAsia" w:ascii="Times New Roman Regular" w:hAnsi="Times New Roman Regular" w:cs="Times New Roman Regular"/>
                <w:kern w:val="0"/>
                <w:sz w:val="20"/>
                <w:szCs w:val="20"/>
                <w:lang w:val="en-US" w:eastAsia="zh-CN"/>
              </w:rPr>
              <w:t>N=</w:t>
            </w:r>
            <w:r>
              <w:rPr>
                <w:rFonts w:hint="default" w:ascii="Times New Roman Regular" w:hAnsi="Times New Roman Regular" w:cs="Times New Roman Regular"/>
                <w:kern w:val="0"/>
                <w:sz w:val="20"/>
                <w:szCs w:val="20"/>
              </w:rPr>
              <w:t>a+b+c+d</w:t>
            </w:r>
          </w:p>
        </w:tc>
      </w:tr>
    </w:tbl>
    <w:p w14:paraId="2DAAA557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sz w:val="20"/>
          <w:szCs w:val="20"/>
          <w:highlight w:val="none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BhcvwlAdvP4C4E74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ingFang SC">
    <w:altName w:val="宋体"/>
    <w:panose1 w:val="020B0400000000000000"/>
    <w:charset w:val="86"/>
    <w:family w:val="swiss"/>
    <w:pitch w:val="default"/>
    <w:sig w:usb0="00000000" w:usb1="00000000" w:usb2="00000000" w:usb3="00000000" w:csb0="00160000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4F82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DD9951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DD9951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7948D9"/>
    <w:multiLevelType w:val="singleLevel"/>
    <w:tmpl w:val="4A7948D9"/>
    <w:lvl w:ilvl="0" w:tentative="0">
      <w:start w:val="1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2B960D3F"/>
    <w:rsid w:val="00BF706B"/>
    <w:rsid w:val="074327A4"/>
    <w:rsid w:val="076B6FE8"/>
    <w:rsid w:val="086A3D60"/>
    <w:rsid w:val="0B5605CC"/>
    <w:rsid w:val="0BA53A2D"/>
    <w:rsid w:val="0C2D2D0D"/>
    <w:rsid w:val="0EA855E3"/>
    <w:rsid w:val="10A15831"/>
    <w:rsid w:val="11982E24"/>
    <w:rsid w:val="125543EE"/>
    <w:rsid w:val="12A237C8"/>
    <w:rsid w:val="12BC6AC5"/>
    <w:rsid w:val="141554C8"/>
    <w:rsid w:val="14353475"/>
    <w:rsid w:val="15F65B12"/>
    <w:rsid w:val="1BED2887"/>
    <w:rsid w:val="1C7105FC"/>
    <w:rsid w:val="1D001585"/>
    <w:rsid w:val="1EB06519"/>
    <w:rsid w:val="1F822748"/>
    <w:rsid w:val="212136FE"/>
    <w:rsid w:val="2151118D"/>
    <w:rsid w:val="215C64E4"/>
    <w:rsid w:val="27D3352E"/>
    <w:rsid w:val="282615FA"/>
    <w:rsid w:val="29D05CC2"/>
    <w:rsid w:val="2A524800"/>
    <w:rsid w:val="2B3A081D"/>
    <w:rsid w:val="2B960D3F"/>
    <w:rsid w:val="31097D0B"/>
    <w:rsid w:val="35A6540C"/>
    <w:rsid w:val="36BC7FFF"/>
    <w:rsid w:val="38D94467"/>
    <w:rsid w:val="3CD967E3"/>
    <w:rsid w:val="3D6A1B31"/>
    <w:rsid w:val="40721429"/>
    <w:rsid w:val="43160791"/>
    <w:rsid w:val="43C755E8"/>
    <w:rsid w:val="44DF1057"/>
    <w:rsid w:val="46A55C75"/>
    <w:rsid w:val="4AF84642"/>
    <w:rsid w:val="4D0E4A58"/>
    <w:rsid w:val="4D6A0932"/>
    <w:rsid w:val="4DBA7F6B"/>
    <w:rsid w:val="52553BB4"/>
    <w:rsid w:val="53733A79"/>
    <w:rsid w:val="558457B7"/>
    <w:rsid w:val="56903F5F"/>
    <w:rsid w:val="575C059D"/>
    <w:rsid w:val="58095D77"/>
    <w:rsid w:val="588F205B"/>
    <w:rsid w:val="58DC7930"/>
    <w:rsid w:val="5AB0697E"/>
    <w:rsid w:val="5C14118E"/>
    <w:rsid w:val="5C700ABB"/>
    <w:rsid w:val="5F27742B"/>
    <w:rsid w:val="622163B3"/>
    <w:rsid w:val="63350368"/>
    <w:rsid w:val="63B82D47"/>
    <w:rsid w:val="63F0428F"/>
    <w:rsid w:val="69D22C4E"/>
    <w:rsid w:val="69FA5E67"/>
    <w:rsid w:val="6AF144AF"/>
    <w:rsid w:val="6C59700A"/>
    <w:rsid w:val="6C5B2E67"/>
    <w:rsid w:val="6D487D9F"/>
    <w:rsid w:val="6EDE7EFA"/>
    <w:rsid w:val="7DE93DD1"/>
    <w:rsid w:val="7F1D03C2"/>
    <w:rsid w:val="7F72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rPr>
      <w:rFonts w:ascii="Arial" w:hAnsi="Arial" w:eastAsia="黑体"/>
      <w:sz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三线表"/>
    <w:basedOn w:val="5"/>
    <w:qFormat/>
    <w:uiPriority w:val="99"/>
    <w:rPr>
      <w:sz w:val="21"/>
    </w:rPr>
    <w:tblPr>
      <w:tblBorders>
        <w:top w:val="single" w:color="auto" w:sz="12" w:space="0"/>
        <w:bottom w:val="single" w:color="auto" w:sz="12" w:space="0"/>
      </w:tblBorders>
    </w:tblPr>
    <w:tblStylePr w:type="firstRow">
      <w:tcPr>
        <w:tcBorders>
          <w:top w:val="single" w:color="auto" w:sz="12" w:space="0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8">
    <w:name w:val="content-right_8zs40"/>
    <w:basedOn w:val="6"/>
    <w:qFormat/>
    <w:uiPriority w:val="0"/>
  </w:style>
  <w:style w:type="paragraph" w:customStyle="1" w:styleId="9">
    <w:name w:val="正文1"/>
    <w:basedOn w:val="10"/>
    <w:qFormat/>
    <w:uiPriority w:val="0"/>
    <w:pPr>
      <w:ind w:firstLine="200" w:firstLineChars="200"/>
      <w:jc w:val="left"/>
    </w:pPr>
    <w:rPr>
      <w:b w:val="0"/>
      <w:sz w:val="24"/>
    </w:rPr>
  </w:style>
  <w:style w:type="paragraph" w:customStyle="1" w:styleId="10">
    <w:name w:val="三级标题"/>
    <w:basedOn w:val="11"/>
    <w:qFormat/>
    <w:uiPriority w:val="0"/>
  </w:style>
  <w:style w:type="paragraph" w:customStyle="1" w:styleId="11">
    <w:name w:val="二级标题"/>
    <w:basedOn w:val="1"/>
    <w:qFormat/>
    <w:uiPriority w:val="0"/>
    <w:pPr>
      <w:spacing w:line="360" w:lineRule="auto"/>
    </w:pPr>
    <w:rPr>
      <w:rFonts w:ascii="Times New Roman" w:hAnsi="Times New Roman" w:eastAsia="宋体" w:cs="Times New Roman"/>
      <w:b/>
      <w:sz w:val="3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302</Words>
  <Characters>1900</Characters>
  <Lines>0</Lines>
  <Paragraphs>0</Paragraphs>
  <TotalTime>0</TotalTime>
  <ScaleCrop>false</ScaleCrop>
  <LinksUpToDate>false</LinksUpToDate>
  <CharactersWithSpaces>2145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2024-11-05T01:15:00Z</dcterms:created>
  <dc:creator>郭贵姆</dc:creator>
  <cp:lastModifiedBy>May we are all the same</cp:lastModifiedBy>
  <dcterms:modified xsi:type="dcterms:W3CDTF">2025-05-09T00:54:49Z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4F6A7E0F3E1F40C39D3548CE498316B7_11</vt:lpwstr>
  </property>
  <property fmtid="{D5CDD505-2E9C-101B-9397-08002B2CF9AE}" pid="4" name="KSOTemplateDocerSaveRecord">
    <vt:lpwstr>eyJoZGlkIjoiN2YzNjBkOTgyNWQ1YTMxYzM3MzMwNWFiODNmOWIzYWMiLCJ1c2VySWQiOiIzMDQ4Nzc3NDQifQ==</vt:lpwstr>
  </property>
</Properties>
</file>